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2AE37C"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0DAF3E4A">
      <w:pPr>
        <w:pStyle w:val="2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培训课程表</w:t>
      </w:r>
    </w:p>
    <w:tbl>
      <w:tblPr>
        <w:tblStyle w:val="4"/>
        <w:tblW w:w="9652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916"/>
        <w:gridCol w:w="4334"/>
        <w:gridCol w:w="2217"/>
      </w:tblGrid>
      <w:tr w14:paraId="6D654E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tblHeader/>
          <w:jc w:val="center"/>
        </w:trPr>
        <w:tc>
          <w:tcPr>
            <w:tcW w:w="1185" w:type="dxa"/>
            <w:shd w:val="clear" w:color="auto" w:fill="CFCECE"/>
            <w:noWrap w:val="0"/>
            <w:vAlign w:val="center"/>
          </w:tcPr>
          <w:p w14:paraId="696E5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bCs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sz w:val="28"/>
                <w:szCs w:val="28"/>
                <w:highlight w:val="none"/>
                <w:lang w:eastAsia="zh-CN"/>
              </w:rPr>
              <w:t>时间</w:t>
            </w:r>
          </w:p>
        </w:tc>
        <w:tc>
          <w:tcPr>
            <w:tcW w:w="1916" w:type="dxa"/>
            <w:shd w:val="clear" w:color="auto" w:fill="CFCECE"/>
            <w:noWrap w:val="0"/>
            <w:vAlign w:val="center"/>
          </w:tcPr>
          <w:p w14:paraId="10F52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default" w:ascii="Times New Roman" w:hAnsi="Times New Roman" w:eastAsia="黑体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sz w:val="28"/>
                <w:szCs w:val="28"/>
                <w:highlight w:val="none"/>
              </w:rPr>
              <w:t>课程主题</w:t>
            </w:r>
          </w:p>
        </w:tc>
        <w:tc>
          <w:tcPr>
            <w:tcW w:w="4334" w:type="dxa"/>
            <w:shd w:val="clear" w:color="auto" w:fill="CFCECE"/>
            <w:noWrap w:val="0"/>
            <w:vAlign w:val="center"/>
          </w:tcPr>
          <w:p w14:paraId="375EB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bCs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sz w:val="28"/>
                <w:szCs w:val="28"/>
                <w:highlight w:val="none"/>
                <w:lang w:eastAsia="zh-CN"/>
              </w:rPr>
              <w:t>纲要</w:t>
            </w:r>
          </w:p>
        </w:tc>
        <w:tc>
          <w:tcPr>
            <w:tcW w:w="2217" w:type="dxa"/>
            <w:shd w:val="clear" w:color="auto" w:fill="CFCECE"/>
            <w:noWrap w:val="0"/>
            <w:vAlign w:val="center"/>
          </w:tcPr>
          <w:p w14:paraId="4D7E4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Times New Roman" w:hAnsi="Times New Roman" w:eastAsia="黑体" w:cs="Times New Roman"/>
                <w:b/>
                <w:bCs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/>
                <w:bCs/>
                <w:sz w:val="28"/>
                <w:szCs w:val="28"/>
                <w:highlight w:val="none"/>
                <w:lang w:eastAsia="zh-CN"/>
              </w:rPr>
              <w:t>拟邀请讲师</w:t>
            </w:r>
          </w:p>
        </w:tc>
      </w:tr>
      <w:tr w14:paraId="63C437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185" w:type="dxa"/>
            <w:vMerge w:val="restart"/>
            <w:noWrap w:val="0"/>
            <w:vAlign w:val="center"/>
          </w:tcPr>
          <w:p w14:paraId="310F1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0112BC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70BD7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7A2C2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577089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4CD3B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55AFF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0993D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第一天</w:t>
            </w:r>
          </w:p>
        </w:tc>
        <w:tc>
          <w:tcPr>
            <w:tcW w:w="1916" w:type="dxa"/>
            <w:noWrap w:val="0"/>
            <w:vAlign w:val="center"/>
          </w:tcPr>
          <w:p w14:paraId="32DAB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江西省促进科技成果转移转化若干措施深度解读</w:t>
            </w:r>
          </w:p>
        </w:tc>
        <w:tc>
          <w:tcPr>
            <w:tcW w:w="4334" w:type="dxa"/>
            <w:noWrap w:val="0"/>
            <w:vAlign w:val="center"/>
          </w:tcPr>
          <w:p w14:paraId="359E6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1.政策框架与核心导向</w:t>
            </w:r>
          </w:p>
          <w:p w14:paraId="6AD59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2.关键举措与实操要点</w:t>
            </w:r>
          </w:p>
        </w:tc>
        <w:tc>
          <w:tcPr>
            <w:tcW w:w="2217" w:type="dxa"/>
            <w:vMerge w:val="restart"/>
            <w:noWrap w:val="0"/>
            <w:vAlign w:val="center"/>
          </w:tcPr>
          <w:p w14:paraId="254BD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  <w:p w14:paraId="26B91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费红琳</w:t>
            </w:r>
          </w:p>
          <w:p w14:paraId="132DB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江西省科技成果转移转化中心执行主任</w:t>
            </w:r>
          </w:p>
        </w:tc>
      </w:tr>
      <w:tr w14:paraId="19F0FB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3" w:hRule="atLeast"/>
          <w:jc w:val="center"/>
        </w:trPr>
        <w:tc>
          <w:tcPr>
            <w:tcW w:w="1185" w:type="dxa"/>
            <w:vMerge w:val="continue"/>
            <w:noWrap w:val="0"/>
            <w:vAlign w:val="center"/>
          </w:tcPr>
          <w:p w14:paraId="11859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16" w:type="dxa"/>
            <w:noWrap w:val="0"/>
            <w:vAlign w:val="center"/>
          </w:tcPr>
          <w:p w14:paraId="11E630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江西省重点产业链人才政策解读</w:t>
            </w:r>
          </w:p>
        </w:tc>
        <w:tc>
          <w:tcPr>
            <w:tcW w:w="4334" w:type="dxa"/>
            <w:noWrap w:val="0"/>
            <w:vAlign w:val="center"/>
          </w:tcPr>
          <w:p w14:paraId="1EBD0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1.政策框架与核心导向；</w:t>
            </w:r>
          </w:p>
          <w:p w14:paraId="6A7845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2.关键举措与要点。</w:t>
            </w:r>
          </w:p>
          <w:p w14:paraId="26E42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217" w:type="dxa"/>
            <w:vMerge w:val="continue"/>
            <w:noWrap w:val="0"/>
            <w:vAlign w:val="center"/>
          </w:tcPr>
          <w:p w14:paraId="65FDC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62C1E8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185" w:type="dxa"/>
            <w:vMerge w:val="continue"/>
            <w:noWrap w:val="0"/>
            <w:vAlign w:val="center"/>
          </w:tcPr>
          <w:p w14:paraId="2BEC5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16" w:type="dxa"/>
            <w:noWrap w:val="0"/>
            <w:vAlign w:val="center"/>
          </w:tcPr>
          <w:p w14:paraId="4E8AD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企业视角下的技术评估与商务谈判</w:t>
            </w:r>
          </w:p>
        </w:tc>
        <w:tc>
          <w:tcPr>
            <w:tcW w:w="4334" w:type="dxa"/>
            <w:noWrap w:val="0"/>
            <w:vAlign w:val="center"/>
          </w:tcPr>
          <w:p w14:paraId="00F75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1.从技术、市场、商业、知识产权四大维度，对科技成果开展全方位综合评估</w:t>
            </w:r>
          </w:p>
          <w:p w14:paraId="32EA1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2.运用成本法、市场法、收益法开展价值评估，站在企业视角制定合理报价方案</w:t>
            </w:r>
          </w:p>
          <w:p w14:paraId="3E1BB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3.运用原则谈判法化解估值分歧，依托分期付款、收益分成等模式绑定双方利益</w:t>
            </w:r>
          </w:p>
        </w:tc>
        <w:tc>
          <w:tcPr>
            <w:tcW w:w="2217" w:type="dxa"/>
            <w:noWrap w:val="0"/>
            <w:vAlign w:val="center"/>
          </w:tcPr>
          <w:p w14:paraId="5ABA0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沈仲军</w:t>
            </w:r>
          </w:p>
          <w:p w14:paraId="52150B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中核集团旗下同方股份专职董事</w:t>
            </w:r>
          </w:p>
        </w:tc>
      </w:tr>
      <w:tr w14:paraId="47D9E8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185" w:type="dxa"/>
            <w:vMerge w:val="restart"/>
            <w:noWrap w:val="0"/>
            <w:vAlign w:val="center"/>
          </w:tcPr>
          <w:p w14:paraId="44D36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36C7E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76EFE6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22920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63850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792ED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36BE2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第二天</w:t>
            </w:r>
          </w:p>
        </w:tc>
        <w:tc>
          <w:tcPr>
            <w:tcW w:w="1916" w:type="dxa"/>
            <w:noWrap w:val="0"/>
            <w:vAlign w:val="center"/>
          </w:tcPr>
          <w:p w14:paraId="58683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成果转化合同拟定实务</w:t>
            </w:r>
          </w:p>
        </w:tc>
        <w:tc>
          <w:tcPr>
            <w:tcW w:w="4334" w:type="dxa"/>
            <w:noWrap w:val="0"/>
            <w:vAlign w:val="center"/>
          </w:tcPr>
          <w:p w14:paraId="05FB76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1.成果权属与主体界定</w:t>
            </w:r>
          </w:p>
          <w:p w14:paraId="0BEF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2.交易价款与支付条款设计</w:t>
            </w:r>
          </w:p>
          <w:p w14:paraId="38E9A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3.权利义务与履约风控</w:t>
            </w:r>
          </w:p>
          <w:p w14:paraId="6F09A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4.变更解除与合规收尾</w:t>
            </w:r>
          </w:p>
        </w:tc>
        <w:tc>
          <w:tcPr>
            <w:tcW w:w="2217" w:type="dxa"/>
            <w:vMerge w:val="restart"/>
            <w:noWrap w:val="0"/>
            <w:vAlign w:val="center"/>
          </w:tcPr>
          <w:p w14:paraId="64FC54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  <w:p w14:paraId="11D9A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  <w:p w14:paraId="61B39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  <w:p w14:paraId="7B1B3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  <w:p w14:paraId="7CEB2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  <w:p w14:paraId="334AC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  <w:p w14:paraId="36573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程富平</w:t>
            </w:r>
          </w:p>
          <w:p w14:paraId="6DC50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广东高校科技成果转化中心助理主任</w:t>
            </w:r>
          </w:p>
          <w:p w14:paraId="6C8FE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55EA4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195080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1185" w:type="dxa"/>
            <w:vMerge w:val="continue"/>
            <w:noWrap w:val="0"/>
            <w:vAlign w:val="center"/>
          </w:tcPr>
          <w:p w14:paraId="708BB9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16" w:type="dxa"/>
            <w:noWrap w:val="0"/>
            <w:vAlign w:val="center"/>
          </w:tcPr>
          <w:p w14:paraId="122C2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科研团队服务与成果梳理</w:t>
            </w:r>
          </w:p>
        </w:tc>
        <w:tc>
          <w:tcPr>
            <w:tcW w:w="4334" w:type="dxa"/>
            <w:noWrap w:val="0"/>
            <w:vAlign w:val="center"/>
          </w:tcPr>
          <w:p w14:paraId="3CF5B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1.从研究方向、转化意愿、配合度评估科研团队，实行A/B/C分级服务，优化资源配置</w:t>
            </w:r>
          </w:p>
          <w:p w14:paraId="7E278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2.运用“赋能引荐→推进转化→长期陪伴”三步法，完成管理向服务角色转变</w:t>
            </w:r>
          </w:p>
          <w:p w14:paraId="73681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3.成果标签化管理，对接企业需求库，制作成果推介清单与对接方案</w:t>
            </w:r>
          </w:p>
        </w:tc>
        <w:tc>
          <w:tcPr>
            <w:tcW w:w="2217" w:type="dxa"/>
            <w:vMerge w:val="continue"/>
            <w:noWrap w:val="0"/>
            <w:vAlign w:val="center"/>
          </w:tcPr>
          <w:p w14:paraId="510E72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67E995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185" w:type="dxa"/>
            <w:vMerge w:val="continue"/>
            <w:noWrap w:val="0"/>
            <w:vAlign w:val="center"/>
          </w:tcPr>
          <w:p w14:paraId="608A9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16" w:type="dxa"/>
            <w:noWrap w:val="0"/>
            <w:vAlign w:val="center"/>
          </w:tcPr>
          <w:p w14:paraId="632B0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N中心科研资源盘点与梳理</w:t>
            </w:r>
          </w:p>
        </w:tc>
        <w:tc>
          <w:tcPr>
            <w:tcW w:w="4334" w:type="dxa"/>
            <w:noWrap w:val="0"/>
            <w:vAlign w:val="center"/>
          </w:tcPr>
          <w:p w14:paraId="10629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1.梳理团队、专利、平台、合作数据，搭建四维动态科研资源台账</w:t>
            </w:r>
          </w:p>
          <w:p w14:paraId="516C5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2.依托TRL模型划分成果四级梯队，实行差异化服务</w:t>
            </w:r>
          </w:p>
          <w:p w14:paraId="47E8A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3.整合历年校企合作数据，分析合作态势，支撑需求匹配决策</w:t>
            </w:r>
          </w:p>
          <w:p w14:paraId="69A3A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4.按产业链标签标注成果，编制推介目录及配套资源清单</w:t>
            </w:r>
          </w:p>
        </w:tc>
        <w:tc>
          <w:tcPr>
            <w:tcW w:w="2217" w:type="dxa"/>
            <w:vMerge w:val="continue"/>
            <w:noWrap w:val="0"/>
            <w:vAlign w:val="center"/>
          </w:tcPr>
          <w:p w14:paraId="3049C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45D006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7" w:hRule="atLeast"/>
          <w:jc w:val="center"/>
        </w:trPr>
        <w:tc>
          <w:tcPr>
            <w:tcW w:w="1185" w:type="dxa"/>
            <w:vMerge w:val="restart"/>
            <w:noWrap w:val="0"/>
            <w:vAlign w:val="center"/>
          </w:tcPr>
          <w:p w14:paraId="6FE1B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第三天</w:t>
            </w:r>
          </w:p>
        </w:tc>
        <w:tc>
          <w:tcPr>
            <w:tcW w:w="1916" w:type="dxa"/>
            <w:noWrap w:val="0"/>
            <w:vAlign w:val="center"/>
          </w:tcPr>
          <w:p w14:paraId="3F526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技术商业化验证实务</w:t>
            </w:r>
          </w:p>
        </w:tc>
        <w:tc>
          <w:tcPr>
            <w:tcW w:w="4334" w:type="dxa"/>
            <w:noWrap w:val="0"/>
            <w:vAlign w:val="center"/>
          </w:tcPr>
          <w:p w14:paraId="7B609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1.从真实需求到技术解决方案的逆向拆解</w:t>
            </w:r>
          </w:p>
          <w:p w14:paraId="0E7CA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2.技术能力外推与潜在应用场景的发掘路径</w:t>
            </w:r>
          </w:p>
          <w:p w14:paraId="40C7F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3.概念验证的组织与评估之跨过“死亡谷”的第一步</w:t>
            </w:r>
          </w:p>
        </w:tc>
        <w:tc>
          <w:tcPr>
            <w:tcW w:w="2217" w:type="dxa"/>
            <w:vMerge w:val="restart"/>
            <w:noWrap w:val="0"/>
            <w:vAlign w:val="center"/>
          </w:tcPr>
          <w:p w14:paraId="66756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夏文欢</w:t>
            </w:r>
          </w:p>
          <w:p w14:paraId="588E55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北京电子控股电子城高科集团产学研合作总监</w:t>
            </w:r>
          </w:p>
        </w:tc>
      </w:tr>
      <w:tr w14:paraId="4B31C9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  <w:jc w:val="center"/>
        </w:trPr>
        <w:tc>
          <w:tcPr>
            <w:tcW w:w="1185" w:type="dxa"/>
            <w:vMerge w:val="continue"/>
            <w:noWrap w:val="0"/>
            <w:vAlign w:val="center"/>
          </w:tcPr>
          <w:p w14:paraId="11806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16" w:type="dxa"/>
            <w:noWrap w:val="0"/>
            <w:vAlign w:val="center"/>
          </w:tcPr>
          <w:p w14:paraId="6DDBA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N中心现有成果复盘与问题诊断</w:t>
            </w:r>
          </w:p>
        </w:tc>
        <w:tc>
          <w:tcPr>
            <w:tcW w:w="4334" w:type="dxa"/>
            <w:noWrap w:val="0"/>
            <w:vAlign w:val="center"/>
          </w:tcPr>
          <w:p w14:paraId="42DEE9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1.结合中心真实案例梳理转化全流程，梳理各环节时效，排查运行瓶颈</w:t>
            </w:r>
          </w:p>
          <w:p w14:paraId="57315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2.运用四维诊断模型，现场研判案例中转化受阻的各类问题</w:t>
            </w:r>
          </w:p>
          <w:p w14:paraId="789A7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3.分组研讨围绕实操案例剖析供需匹配失败根源，划分问题类型</w:t>
            </w:r>
          </w:p>
        </w:tc>
        <w:tc>
          <w:tcPr>
            <w:tcW w:w="2217" w:type="dxa"/>
            <w:vMerge w:val="continue"/>
            <w:noWrap w:val="0"/>
            <w:vAlign w:val="center"/>
          </w:tcPr>
          <w:p w14:paraId="10E05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3A89AA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atLeast"/>
          <w:jc w:val="center"/>
        </w:trPr>
        <w:tc>
          <w:tcPr>
            <w:tcW w:w="9652" w:type="dxa"/>
            <w:gridSpan w:val="4"/>
            <w:noWrap w:val="0"/>
            <w:vAlign w:val="center"/>
          </w:tcPr>
          <w:p w14:paraId="524DAB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项目分析报告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1份（N中心科研资源盘点分析报告、科研团队服务方案规划报告）</w:t>
            </w:r>
          </w:p>
        </w:tc>
      </w:tr>
      <w:tr w14:paraId="065BF5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9652" w:type="dxa"/>
            <w:gridSpan w:val="4"/>
            <w:noWrap w:val="0"/>
            <w:vAlign w:val="center"/>
          </w:tcPr>
          <w:p w14:paraId="61565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课后作业批改、线上点评辅导、相互学习交流</w:t>
            </w:r>
          </w:p>
        </w:tc>
      </w:tr>
    </w:tbl>
    <w:p w14:paraId="4E67D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35A275D4">
      <w:pPr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</w:t>
      </w:r>
    </w:p>
    <w:p w14:paraId="22A0FCB9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报名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指南</w:t>
      </w:r>
    </w:p>
    <w:p w14:paraId="7692E743"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</w:p>
    <w:p w14:paraId="42DA87A2">
      <w:p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方式一：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电脑端</w:t>
      </w:r>
    </w:p>
    <w:p w14:paraId="31C5C91D"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 xml:space="preserve">进入国家（江西）技术转移人才培养基地官网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instrText xml:space="preserve"> HYPERLINK "http://www.nckjcg.com报名系统。"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www.nckjcg.com，点击报名系统。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fldChar w:fldCharType="end"/>
      </w:r>
    </w:p>
    <w:p w14:paraId="003EEF45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drawing>
          <wp:inline distT="0" distB="0" distL="114300" distR="114300">
            <wp:extent cx="5266690" cy="2136775"/>
            <wp:effectExtent l="0" t="0" r="10160" b="158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FB10"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第二步：进入国家（江西）技术转移人才培养基地报名系统，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点击“立即注册”，使用本人手机号注册账号密码（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账号与手机号可以相同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，请牢记您的账号、密码）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65842F13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0340" cy="2607310"/>
            <wp:effectExtent l="0" t="0" r="1651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B951">
      <w:p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drawing>
          <wp:inline distT="0" distB="0" distL="114300" distR="114300">
            <wp:extent cx="5260340" cy="2607310"/>
            <wp:effectExtent l="0" t="0" r="16510" b="254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9E44">
      <w:pPr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使用账号、密码登录报名系统，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点击进入您需要报名的项目，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点击“其他”→点击“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全省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1+M+N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科技成果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转移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转化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服务体系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N中心能力提升培训班”</w:t>
      </w:r>
    </w:p>
    <w:p w14:paraId="3FD04B50"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2620010"/>
            <wp:effectExtent l="0" t="0" r="14605" b="8890"/>
            <wp:docPr id="11" name="图片 7" descr="c024dc8f-d915-43e8-ab8a-6605baa5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024dc8f-d915-43e8-ab8a-6605baa55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AEC0">
      <w:pPr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849245"/>
            <wp:effectExtent l="0" t="0" r="10160" b="825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EE1B"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第四步：在报名填写表单上填写具体个人信息，其中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为必填项，并上传分辨率为300，尺寸3.5*5cm的红底证件照（照片为后续制证所需，请规范上传证件照，不可使用艺术照或生活照），点击保存。</w:t>
      </w:r>
    </w:p>
    <w:p w14:paraId="6066552E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49245"/>
            <wp:effectExtent l="0" t="0" r="1016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C10C">
      <w:pPr>
        <w:jc w:val="left"/>
      </w:pPr>
      <w:r>
        <w:drawing>
          <wp:inline distT="0" distB="0" distL="114300" distR="114300">
            <wp:extent cx="5260340" cy="2607310"/>
            <wp:effectExtent l="0" t="0" r="16510" b="25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F6F1"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步：确认报名填写表单信息无误，点击下方“报名表下载”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 w14:paraId="76D2498E">
      <w:pPr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0340" cy="2607310"/>
            <wp:effectExtent l="0" t="0" r="16510" b="254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0AEE">
      <w:pPr>
        <w:ind w:firstLine="640" w:firstLineChars="200"/>
        <w:jc w:val="left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步：点击下方“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PDF下载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下载并打印出纸质报名表签字盖章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0CD0D26E">
      <w:pPr>
        <w:jc w:val="left"/>
      </w:pPr>
      <w:r>
        <w:drawing>
          <wp:inline distT="0" distB="0" distL="114300" distR="114300">
            <wp:extent cx="5266690" cy="2849245"/>
            <wp:effectExtent l="0" t="0" r="1016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2355"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七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重新登录报名账号，将已签字盖章的报名表扫描件上传系统即可完成报名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</w:p>
    <w:p w14:paraId="27373FF5">
      <w:pPr>
        <w:jc w:val="left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57165" cy="2604770"/>
            <wp:effectExtent l="0" t="0" r="635" b="50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7CC5">
      <w:pPr>
        <w:jc w:val="left"/>
      </w:pPr>
    </w:p>
    <w:p w14:paraId="74DD3CA9">
      <w:p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方式二：手机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端</w:t>
      </w:r>
    </w:p>
    <w:p w14:paraId="39E0D1F6">
      <w:pPr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第一步：打开“南昌市科技成果转化协会”微信公众号，点击“微网站”</w:t>
      </w:r>
      <w:r>
        <w:rPr>
          <w:rFonts w:hint="default" w:ascii="Arial" w:hAnsi="Arial" w:eastAsia="仿宋_GB2312" w:cs="Arial"/>
          <w:b w:val="0"/>
          <w:bCs w:val="0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点击“培训报名”。</w:t>
      </w:r>
    </w:p>
    <w:p w14:paraId="6F9ED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66570" cy="3599815"/>
            <wp:effectExtent l="0" t="0" r="5080" b="635"/>
            <wp:docPr id="19" name="图片 14" descr="2fac60191b36eaa75ca5a019e74b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2fac60191b36eaa75ca5a019e74b5a0"/>
                    <pic:cNvPicPr>
                      <a:picLocks noChangeAspect="1"/>
                    </pic:cNvPicPr>
                  </pic:nvPicPr>
                  <pic:blipFill>
                    <a:blip r:embed="rId15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19250" cy="3599815"/>
            <wp:effectExtent l="0" t="0" r="0" b="635"/>
            <wp:docPr id="10" name="图片 15" descr="c69c784bc1a2d9c2352dc2e07282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69c784bc1a2d9c2352dc2e072829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9117">
      <w:pPr>
        <w:ind w:firstLine="640" w:firstLineChars="200"/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第二步：点击“立即注册”，注册成功后登录系统。</w:t>
      </w:r>
    </w:p>
    <w:p w14:paraId="22F0D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19250" cy="3599815"/>
            <wp:effectExtent l="0" t="0" r="0" b="635"/>
            <wp:docPr id="4" name="图片 16" descr="5e0088c646059810d9c802b335bc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5e0088c646059810d9c802b335bc7b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DE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第三步：点击“其他”→点击“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全省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1+M+N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科技成果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转移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转化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服务体系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N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中心能力提升培训班”进入报名页面。</w:t>
      </w:r>
    </w:p>
    <w:p w14:paraId="12BBB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60525" cy="3599815"/>
            <wp:effectExtent l="0" t="0" r="15875" b="635"/>
            <wp:docPr id="16" name="图片 17" descr="93afb61cf1736fba25ba93b689947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93afb61cf1736fba25ba93b689947b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657985" cy="3597275"/>
            <wp:effectExtent l="0" t="0" r="18415" b="3175"/>
            <wp:docPr id="14" name="图片 18" descr="527b0bb485507cbe758b8cb2388a0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527b0bb485507cbe758b8cb2388a01a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16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第四步：填写报名信息并上传照片，点击保存（带＊为必填项）</w:t>
      </w:r>
    </w:p>
    <w:p w14:paraId="608DD5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56080" cy="3590925"/>
            <wp:effectExtent l="0" t="0" r="1270" b="9525"/>
            <wp:docPr id="2" name="图片 19" descr="040cc75ae6e26a4f4861786a725d9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040cc75ae6e26a4f4861786a725d9de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19250" cy="3599815"/>
            <wp:effectExtent l="0" t="0" r="0" b="635"/>
            <wp:docPr id="17" name="图片 20" descr="def010bc1f30d7fbc7c62b1da013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def010bc1f30d7fbc7c62b1da0132b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D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6ED8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第七步：按“下一步”的指引，使用电脑进入国家（江西）技术转移人才培养基地官网 www.nckjcg.com 生成和下载报名表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17500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19250" cy="3599815"/>
            <wp:effectExtent l="0" t="0" r="0" b="635"/>
            <wp:docPr id="7" name="图片 21" descr="821aab8bc3855f95fe6a666bedb4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821aab8bc3855f95fe6a666bedb46e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16D7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D13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78898C34">
      <w:pPr>
        <w:pStyle w:val="2"/>
        <w:numPr>
          <w:ilvl w:val="0"/>
          <w:numId w:val="0"/>
        </w:numPr>
        <w:jc w:val="both"/>
        <w:rPr>
          <w:rFonts w:hint="default" w:ascii="黑体" w:hAnsi="黑体" w:eastAsia="黑体" w:cs="黑体"/>
          <w:bCs/>
          <w:sz w:val="32"/>
          <w:szCs w:val="32"/>
          <w:lang w:val="en-US" w:eastAsia="zh-CN"/>
        </w:rPr>
      </w:pPr>
    </w:p>
    <w:p w14:paraId="568D1DB9">
      <w:pPr>
        <w:pStyle w:val="2"/>
        <w:rPr>
          <w:rFonts w:hint="default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161D949E">
      <w:pPr>
        <w:pStyle w:val="2"/>
        <w:ind w:firstLine="640" w:firstLineChars="200"/>
        <w:jc w:val="both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附件3</w:t>
      </w:r>
    </w:p>
    <w:p w14:paraId="79282635">
      <w:pPr>
        <w:pStyle w:val="2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lang w:val="en-US" w:eastAsia="zh-CN"/>
        </w:rPr>
        <w:t>参训N中心名单</w:t>
      </w:r>
    </w:p>
    <w:p w14:paraId="588DF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9540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南昌大学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江西师范大学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江西农业大学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江西财经大学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华东交通大学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东华理工大学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江西理工大学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南昌航空大学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井冈山大学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江西科技师范大学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江西中医药大学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景德镇陶瓷大学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赣南师范大学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赣南医科大学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宜春学院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九江学院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江西水利电力大学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江西省科学院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江西省农业科学院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江西省林业科学院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赣南实验室。</w:t>
      </w:r>
    </w:p>
    <w:p w14:paraId="5C5A8129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0D3A7C8-EECF-4029-8D2F-3F5247F42E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50FBFEE-39A4-4A68-9D35-EB17A674BFC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BAF01731-A8A6-48AF-B2C8-3CA5BD1F8A7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5808BDC5-E81C-41DF-9117-8003D9DF736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06A90040-BB9C-40A7-AC15-CA20928DD9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789EB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A80BBAF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R89qo3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AUfPaqNwIAAG8EAAAOAAAAAAAAAAEAIAAAAB8BAABkcnMvZTJvRG9jLnht&#10;bFBLBQYAAAAABgAGAFkBAAD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80BBAF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3B1700"/>
    <w:rsid w:val="013B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28"/>
      <w:szCs w:val="28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2026-07-08T04:56:00Z</dcterms:created>
  <dc:creator>江敏</dc:creator>
  <cp:lastModifiedBy>江敏</cp:lastModifiedBy>
  <dcterms:modified xsi:type="dcterms:W3CDTF">2026-07-08T04:56:53Z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390E32C67AB54283BB5ED19393960899_11</vt:lpwstr>
  </property>
  <property fmtid="{D5CDD505-2E9C-101B-9397-08002B2CF9AE}" pid="4" name="KSOTemplateDocerSaveRecord">
    <vt:lpwstr>eyJoZGlkIjoiYjQ0MWQ3MzhjMjRhM2M1ZjgzYTRlOTVkNDYxYzNmOTUiLCJ1c2VySWQiOiIxNzM4Mjc5MTQwIn0=</vt:lpwstr>
  </property>
</Properties>
</file>